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05:23 МСК · База обновлена: 25.07.2026, 05:03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Врачу по радиационной гигиене необходимо дать оценку воды из подземного источника на ее пригодность к питьевому водоснабжению по радиационному фактору. Глубина скважины 45 м.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воды.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позволяющим сделать предварительную оценку качества питьевой воды по показателям радиационной безопасности,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2.6.1.2523-09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N 0100/13609-07-34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СанПиН 2.6.1.2523-09 «Нормы радиационной безопасности (НРБ-99/2009)»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…</w:t>
        <w:br/>
        <w:br/>
        <w:t>СанПиН 2.6.1.2523-09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документом, устанавливающим порядок организации и проведения, объем и периодичность радиационного контроля воды источников водоснабжения и питьевой воды,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№ 0100/13609-07-34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ind w:left="504"/>
      </w:pPr>
      <w:r>
        <w:rPr>
          <w:b w:val="0"/>
          <w:i/>
        </w:rPr>
        <w:t>4.1. Настоящие МУ устанавливают порядок организации и проведения, объем и периодичность радиационного контроля воды источников водоснабжения и питьевой воды, …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радона</w:t>
      </w:r>
    </w:p>
    <w:p>
      <w:pPr>
        <w:ind w:left="504"/>
      </w:pPr>
      <w:r>
        <w:rPr>
          <w:b w:val="0"/>
          <w:i/>
        </w:rPr>
        <w:t>6.2. 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 радона.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Объем отбираемой пробы воды при анализе суммарных показателей удельной альфа- и бета-активности должен быть не менее (в литрах)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5.3. … Объем отбираемой пробы воды должен составлять не менее 1 литра при анализе суммарных показателей удельной альфа- и бета-активности.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анализе радионуклидного состава и удельной активности природных радионуклидов объем отбираемой пробы воды должен составлять не менее +________+ литров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5.3. ... Объем отбираемой пробы воды должен составлять не менее … 10 литров - при анализе радионуклидного состава и удельной активности природных радионуклидов.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исключения процесса сорбции микроколичеств радионуклидов на внутренней поверхности емкости отобранная проба воды подкисляется азотной кислотой до pH 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5.5. Отобранная проба подкисляется азотной кислотой до pH=1 для исключения процесса сорбции микроколичеств радионуклидов на внутренней поверхности емкости.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от отбора до доставки пробы воды в лабораторию с целью определения удельной активности 222_Rn_ должно быть не более +______+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{nbsp}</w:t>
        <w:br/>
        <w:t>6. … время от отбора до доставки пробы воды в лабораторию с целью определения удельной активности 222_Rn_ должно быть не более двух суток.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Предварительная оценка качества питьевой воды по содержанию в ней радона проводится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референтному уровню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предельной допустимой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основному дозовому пределу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уровню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уровню вмешательства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…</w:t>
        <w:br/>
        <w:br/>
        <w:t>Уровень вмешательства для 222Rn в питьевой воде составляет 60 Бк/кг.</w:t>
        <w:br/>
        <w:br/>
        <w:t>СанПиН 2.6.1.2523-2009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Расчеты среднего значения индивидуальной годовой эффективной дозы внутреннего облучения за счет потреблении питьевой воды при отсутствии достоверных данных о ее потреблении допускается проводить, исходя из данных ее стандартного потребления _____ кг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730</w:t>
      </w:r>
    </w:p>
    <w:p>
      <w:pPr>
        <w:ind w:left="504"/>
      </w:pPr>
      <w:r>
        <w:rPr>
          <w:b w:val="0"/>
          <w:i/>
        </w:rPr>
        <w:t>7.2. Среднее значение индивидуальной годовой эффективной дозы внутреннего облучения (Е) при потреблении питьевой воды рассчитывается по формуле …</w:t>
        <w:br/>
        <w:br/>
        <w:t>При отсутствии достоверных данных о годовом потреблении питьевой воды расчеты допускается проводить исходя из данных стандартного потребления питьевой воды 730 кг в год.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при предварительной оценке значения Аα и Аβ превышают _____ Бк/кг, соответственно, то дальнейшие исследования воды являются обязательными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 и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 и 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 и 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 и 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0,2 и 1,0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удельной суммарной альфа- (Аα) и бета-активности (Аβ). При значениях Аα и Аβ ниже 0,2 и 1,0 Бк/кг, соответственно, дальнейшие исследования воды не являются обязательными.</w:t>
        <w:br/>
        <w:br/>
        <w:t>СанПиН 2.6.1.2523-09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Поиск и переход на альтернативный источник водоснабжения населения осуществляется в безотлагательном порядке, если содержание природных радионуклидов в питьевой воде превышает уровни вмешательства более чем в +______+ раз(а)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4.7. Если содержание природных радионуклидов в питьевой воде превышает уровни вмешательства более чем в 10 раз, то поиск и переход на альтернативный источник водоснабжения населения осуществляется в безотлагательном порядке.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Одним из эффективных способов удаления радона из питьевой воды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ионно-обменный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мембранный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аэрации</w:t>
      </w:r>
    </w:p>
    <w:p>
      <w:pPr>
        <w:ind w:left="504"/>
      </w:pPr>
      <w:r>
        <w:rPr>
          <w:b w:val="0"/>
          <w:i/>
        </w:rPr>
        <w:t>Приложение 7</w:t>
        <w:br/>
        <w:br/>
        <w:t>7.1. Для удаления радона из воды применяют следующие основные методы: отстаивание, аэрация, фильтрование воды через активированный уголь.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2.6.1.2523-09/" TargetMode="External"/><Relationship Id="rId21" Type="http://schemas.openxmlformats.org/officeDocument/2006/relationships/hyperlink" Target="https://library.mededtech.ru/rest/documents/sanpin2.6.1.2523-09/#paragraph_sqpl4e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y2.6.1.1981-05/" TargetMode="External"/><Relationship Id="rId24" Type="http://schemas.openxmlformats.org/officeDocument/2006/relationships/hyperlink" Target="https://library.mededtech.ru/rest/documents/my2.6.1.1981-05/#paragraph_f8g9bh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my2.6.1.1981-05/#paragraph_rom56q" TargetMode="External"/><Relationship Id="rId27" Type="http://schemas.openxmlformats.org/officeDocument/2006/relationships/hyperlink" Target="https://library.mededtech.ru/rest/documents/13609-07-34/" TargetMode="External"/><Relationship Id="rId28" Type="http://schemas.openxmlformats.org/officeDocument/2006/relationships/hyperlink" Target="https://library.mededtech.ru/rest/documents/13609-07-34/#paragraph_q1nmjt" TargetMode="External"/><Relationship Id="rId29" Type="http://schemas.openxmlformats.org/officeDocument/2006/relationships/hyperlink" Target="https://library.mededtech.ru/rest/documents/13609-07-34/#paragraph_17ikaa" TargetMode="External"/><Relationship Id="rId30" Type="http://schemas.openxmlformats.org/officeDocument/2006/relationships/hyperlink" Target="https://library.mededtech.ru/rest/documents/13609-07-34/#paragraph_05r8d5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2.6.1.2523-09/#paragraph_mf4p10" TargetMode="External"/><Relationship Id="rId33" Type="http://schemas.openxmlformats.org/officeDocument/2006/relationships/hyperlink" Target="https://library.mededtech.ru/rest/documents/my2.6.1.1981-05/#paragraph_q2077c:~:text=7.2.%20%D0%A1%D1%80%D0%B5%D0%B4%D0%BD%D0%B5%D0%B5%20%D0%B7%D0%BD%D0%B0%D1%87%D0%B5%D0%BD%D0%B8%D0%B5,%D0%9C%D0%A3%2C%20%D0%97%D0%B2/%D0%91%D0%BA" TargetMode="External"/><Relationship Id="rId34" Type="http://schemas.openxmlformats.org/officeDocument/2006/relationships/hyperlink" Target="https://library.mededtech.ru/rest/documents/my2.6.1.1981-05/#paragraph_r3hhk4" TargetMode="External"/><Relationship Id="rId35" Type="http://schemas.openxmlformats.org/officeDocument/2006/relationships/hyperlink" Target="https://library.mededtech.ru/rest/documents/my2.6.1.1981-05/#paragraph_b81s0h" TargetMode="External"/><Relationship Id="rId36" Type="http://schemas.openxmlformats.org/officeDocument/2006/relationships/hyperlink" Target="https://library.mededtech.ru/rest/documents/my2.6.1.1981-05/#paragraph_1l3bh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